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03BE7A" w14:textId="77777777" w:rsidR="000334A7" w:rsidRDefault="000334A7" w:rsidP="000334A7">
      <w:pPr>
        <w:pStyle w:val="Heading1"/>
      </w:pPr>
      <w:r w:rsidRPr="006D1AD6">
        <w:rPr>
          <w:rStyle w:val="Strong"/>
          <w:rFonts w:cstheme="minorHAnsi"/>
          <w:noProof/>
        </w:rPr>
        <w:drawing>
          <wp:inline distT="0" distB="0" distL="0" distR="0" wp14:anchorId="5D697D5D" wp14:editId="32FB33B6">
            <wp:extent cx="5926312" cy="1692245"/>
            <wp:effectExtent l="0" t="0" r="0" b="0"/>
            <wp:docPr id="2045959865" name="Picture 2045959865" descr="A picture containing text, businesscard, screensh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text, businesscard, screensho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9645" cy="1716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221E9C" w14:textId="2DDF60DA" w:rsidR="00AA2265" w:rsidRPr="00AA2265" w:rsidRDefault="00AA2265" w:rsidP="00AA2265">
      <w:pPr>
        <w:pStyle w:val="Heading1"/>
        <w:rPr>
          <w:rFonts w:ascii="Calibri" w:hAnsi="Calibri" w:cs="Calibri"/>
          <w:color w:val="000000"/>
        </w:rPr>
      </w:pPr>
      <w:r w:rsidRPr="00AA2265">
        <w:rPr>
          <w:rFonts w:ascii="Calibri" w:hAnsi="Calibri" w:cs="Calibri"/>
          <w:color w:val="000000"/>
        </w:rPr>
        <w:t>Speech: Launch of</w:t>
      </w:r>
      <w:r w:rsidRPr="00AA2265">
        <w:rPr>
          <w:rStyle w:val="apple-converted-space"/>
          <w:rFonts w:ascii="Calibri" w:hAnsi="Calibri" w:cs="Calibri"/>
          <w:color w:val="000000"/>
        </w:rPr>
        <w:t> </w:t>
      </w:r>
      <w:r w:rsidRPr="00AA2265">
        <w:rPr>
          <w:rStyle w:val="Emphasis"/>
          <w:rFonts w:ascii="Calibri" w:hAnsi="Calibri" w:cs="Calibri"/>
          <w:color w:val="000000"/>
        </w:rPr>
        <w:t xml:space="preserve">Trinity </w:t>
      </w:r>
      <w:proofErr w:type="spellStart"/>
      <w:r w:rsidRPr="00AA2265">
        <w:rPr>
          <w:rStyle w:val="Emphasis"/>
          <w:rFonts w:ascii="Calibri" w:hAnsi="Calibri" w:cs="Calibri"/>
          <w:color w:val="000000"/>
        </w:rPr>
        <w:t>disAbility</w:t>
      </w:r>
      <w:proofErr w:type="spellEnd"/>
      <w:r w:rsidRPr="00AA2265">
        <w:rPr>
          <w:rStyle w:val="Emphasis"/>
          <w:rFonts w:ascii="Calibri" w:hAnsi="Calibri" w:cs="Calibri"/>
          <w:color w:val="000000"/>
        </w:rPr>
        <w:t xml:space="preserve"> Service—Journey </w:t>
      </w:r>
      <w:r w:rsidR="001B22C2">
        <w:rPr>
          <w:rStyle w:val="Emphasis"/>
          <w:rFonts w:ascii="Calibri" w:hAnsi="Calibri" w:cs="Calibri"/>
          <w:color w:val="000000"/>
        </w:rPr>
        <w:t>2000</w:t>
      </w:r>
      <w:r w:rsidRPr="00AA2265">
        <w:rPr>
          <w:rStyle w:val="Emphasis"/>
          <w:rFonts w:ascii="Calibri" w:hAnsi="Calibri" w:cs="Calibri"/>
          <w:color w:val="000000"/>
        </w:rPr>
        <w:t>–2025</w:t>
      </w:r>
    </w:p>
    <w:p w14:paraId="0BFD217D" w14:textId="77777777" w:rsidR="00AA2265" w:rsidRPr="00AA2265" w:rsidRDefault="00AA2265" w:rsidP="00AA2265">
      <w:pPr>
        <w:pStyle w:val="NormalWeb"/>
        <w:rPr>
          <w:rFonts w:ascii="Calibri" w:hAnsi="Calibri" w:cs="Calibri"/>
          <w:color w:val="000000"/>
        </w:rPr>
      </w:pPr>
      <w:r w:rsidRPr="00AA2265">
        <w:rPr>
          <w:rFonts w:ascii="Calibri" w:hAnsi="Calibri" w:cs="Calibri"/>
          <w:color w:val="000000"/>
        </w:rPr>
        <w:t>Good evening everyone—Provost, colleagues, students, alumni, partners, and friends.</w:t>
      </w:r>
    </w:p>
    <w:p w14:paraId="08FA7196" w14:textId="50AC2B54" w:rsidR="00AA2265" w:rsidRPr="00AA2265" w:rsidRDefault="00AA2265" w:rsidP="00AA2265">
      <w:pPr>
        <w:pStyle w:val="NormalWeb"/>
        <w:rPr>
          <w:rFonts w:ascii="Calibri" w:hAnsi="Calibri" w:cs="Calibri"/>
          <w:color w:val="000000"/>
        </w:rPr>
      </w:pPr>
      <w:r w:rsidRPr="00AA2265">
        <w:rPr>
          <w:rFonts w:ascii="Calibri" w:hAnsi="Calibri" w:cs="Calibri"/>
          <w:color w:val="000000"/>
        </w:rPr>
        <w:t>Tonight we’re doing two things at once: we’re celebrating a story, and we’re turning a page. The story is the one captured in this booklet—</w:t>
      </w:r>
      <w:r w:rsidRPr="00AA2265">
        <w:rPr>
          <w:rStyle w:val="Emphasis"/>
          <w:rFonts w:ascii="Calibri" w:eastAsiaTheme="majorEastAsia" w:hAnsi="Calibri" w:cs="Calibri"/>
          <w:color w:val="000000"/>
        </w:rPr>
        <w:t xml:space="preserve">Trinity </w:t>
      </w:r>
      <w:proofErr w:type="spellStart"/>
      <w:r w:rsidRPr="00AA2265">
        <w:rPr>
          <w:rStyle w:val="Emphasis"/>
          <w:rFonts w:ascii="Calibri" w:eastAsiaTheme="majorEastAsia" w:hAnsi="Calibri" w:cs="Calibri"/>
          <w:color w:val="000000"/>
        </w:rPr>
        <w:t>disAbility</w:t>
      </w:r>
      <w:proofErr w:type="spellEnd"/>
      <w:r w:rsidRPr="00AA2265">
        <w:rPr>
          <w:rStyle w:val="Emphasis"/>
          <w:rFonts w:ascii="Calibri" w:eastAsiaTheme="majorEastAsia" w:hAnsi="Calibri" w:cs="Calibri"/>
          <w:color w:val="000000"/>
        </w:rPr>
        <w:t xml:space="preserve"> Service: Journey </w:t>
      </w:r>
      <w:r w:rsidR="00BC45F4">
        <w:rPr>
          <w:rStyle w:val="Emphasis"/>
          <w:rFonts w:ascii="Calibri" w:eastAsiaTheme="majorEastAsia" w:hAnsi="Calibri" w:cs="Calibri"/>
          <w:color w:val="000000"/>
        </w:rPr>
        <w:t>2000</w:t>
      </w:r>
      <w:r w:rsidRPr="00AA2265">
        <w:rPr>
          <w:rStyle w:val="Emphasis"/>
          <w:rFonts w:ascii="Calibri" w:eastAsiaTheme="majorEastAsia" w:hAnsi="Calibri" w:cs="Calibri"/>
          <w:color w:val="000000"/>
        </w:rPr>
        <w:t>–2025</w:t>
      </w:r>
      <w:r w:rsidR="00BC45F4">
        <w:rPr>
          <w:rFonts w:ascii="Calibri" w:hAnsi="Calibri" w:cs="Calibri"/>
          <w:color w:val="000000"/>
        </w:rPr>
        <w:t xml:space="preserve"> </w:t>
      </w:r>
      <w:r w:rsidRPr="00AA2265">
        <w:rPr>
          <w:rFonts w:ascii="Calibri" w:hAnsi="Calibri" w:cs="Calibri"/>
          <w:color w:val="000000"/>
        </w:rPr>
        <w:t>and the new page is what we choose to do next with that story.</w:t>
      </w:r>
    </w:p>
    <w:p w14:paraId="0AE42B50" w14:textId="4468CAC3" w:rsidR="00AA2265" w:rsidRPr="00AA2265" w:rsidRDefault="00AA2265" w:rsidP="00AA2265">
      <w:pPr>
        <w:pStyle w:val="NormalWeb"/>
        <w:rPr>
          <w:rFonts w:ascii="Calibri" w:hAnsi="Calibri" w:cs="Calibri"/>
          <w:color w:val="000000"/>
        </w:rPr>
      </w:pPr>
      <w:r w:rsidRPr="00AA2265">
        <w:rPr>
          <w:rFonts w:ascii="Calibri" w:hAnsi="Calibri" w:cs="Calibri"/>
          <w:color w:val="000000"/>
        </w:rPr>
        <w:t>When I look back over these 25 years, what stands out most is how a small idea became a movement. In 1995 Trinity established a Special Needs Committee</w:t>
      </w:r>
      <w:r w:rsidR="00BC45F4">
        <w:rPr>
          <w:rFonts w:ascii="Calibri" w:hAnsi="Calibri" w:cs="Calibri"/>
          <w:color w:val="000000"/>
        </w:rPr>
        <w:t xml:space="preserve"> </w:t>
      </w:r>
      <w:r w:rsidRPr="00AA2265">
        <w:rPr>
          <w:rFonts w:ascii="Calibri" w:hAnsi="Calibri" w:cs="Calibri"/>
          <w:color w:val="000000"/>
        </w:rPr>
        <w:t>a modest but vital first step that said, “we’re going to do this properly.”</w:t>
      </w:r>
      <w:r w:rsidRPr="00AA2265">
        <w:rPr>
          <w:rStyle w:val="apple-converted-space"/>
          <w:rFonts w:ascii="Calibri" w:eastAsiaTheme="majorEastAsia" w:hAnsi="Calibri" w:cs="Calibri"/>
          <w:color w:val="000000"/>
        </w:rPr>
        <w:t> </w:t>
      </w:r>
    </w:p>
    <w:p w14:paraId="6E5E48CB" w14:textId="77777777" w:rsidR="00AA2265" w:rsidRPr="00AA2265" w:rsidRDefault="00AA2265" w:rsidP="00AA2265">
      <w:pPr>
        <w:pStyle w:val="NormalWeb"/>
        <w:rPr>
          <w:rFonts w:ascii="Calibri" w:hAnsi="Calibri" w:cs="Calibri"/>
          <w:color w:val="000000"/>
        </w:rPr>
      </w:pPr>
      <w:r w:rsidRPr="00AA2265">
        <w:rPr>
          <w:rFonts w:ascii="Calibri" w:hAnsi="Calibri" w:cs="Calibri"/>
          <w:color w:val="000000"/>
        </w:rPr>
        <w:t>By 2000, the Service was formally created—one office, one full-time post, and 64 students registered for support at the turn of the millennium. Today that number is close to 3,000. That isn’t just growth; it’s culture change. It means more people felt welcome, believed they belonged, and chose Trinity.</w:t>
      </w:r>
      <w:r w:rsidRPr="00AA2265">
        <w:rPr>
          <w:rStyle w:val="apple-converted-space"/>
          <w:rFonts w:ascii="Calibri" w:eastAsiaTheme="majorEastAsia" w:hAnsi="Calibri" w:cs="Calibri"/>
          <w:color w:val="000000"/>
        </w:rPr>
        <w:t> </w:t>
      </w:r>
    </w:p>
    <w:p w14:paraId="321B7E72" w14:textId="044D1347" w:rsidR="00AA2265" w:rsidRPr="00AA2265" w:rsidRDefault="00AA2265" w:rsidP="00AA2265">
      <w:pPr>
        <w:pStyle w:val="NormalWeb"/>
        <w:rPr>
          <w:rFonts w:ascii="Calibri" w:hAnsi="Calibri" w:cs="Calibri"/>
          <w:color w:val="000000"/>
        </w:rPr>
      </w:pPr>
      <w:r w:rsidRPr="00AA2265">
        <w:rPr>
          <w:rFonts w:ascii="Calibri" w:hAnsi="Calibri" w:cs="Calibri"/>
          <w:color w:val="000000"/>
        </w:rPr>
        <w:t>Very early, we realised that inclusion can’t rely on heroic individual fixes; it has to be designed in. In 2002 we created the LENS</w:t>
      </w:r>
      <w:r w:rsidR="00BC45F4">
        <w:rPr>
          <w:rFonts w:ascii="Calibri" w:hAnsi="Calibri" w:cs="Calibri"/>
          <w:color w:val="000000"/>
        </w:rPr>
        <w:t xml:space="preserve">, </w:t>
      </w:r>
      <w:r w:rsidRPr="00AA2265">
        <w:rPr>
          <w:rFonts w:ascii="Calibri" w:hAnsi="Calibri" w:cs="Calibri"/>
          <w:color w:val="000000"/>
        </w:rPr>
        <w:t>Learning and Educational Needs Summary</w:t>
      </w:r>
      <w:r w:rsidR="00BC45F4">
        <w:rPr>
          <w:rFonts w:ascii="Calibri" w:hAnsi="Calibri" w:cs="Calibri"/>
          <w:color w:val="000000"/>
        </w:rPr>
        <w:t xml:space="preserve">, </w:t>
      </w:r>
      <w:r w:rsidRPr="00AA2265">
        <w:rPr>
          <w:rFonts w:ascii="Calibri" w:hAnsi="Calibri" w:cs="Calibri"/>
          <w:color w:val="000000"/>
        </w:rPr>
        <w:t>so that a student’s needs didn’t have to be explained again and again, and staff had a clear, professional, consistent way to act. Many students call it their “disability passport.” That idea travelled—beyond modules, beyond schools, beyond Trinity.</w:t>
      </w:r>
      <w:r w:rsidRPr="00AA2265">
        <w:rPr>
          <w:rStyle w:val="apple-converted-space"/>
          <w:rFonts w:ascii="Calibri" w:eastAsiaTheme="majorEastAsia" w:hAnsi="Calibri" w:cs="Calibri"/>
          <w:color w:val="000000"/>
        </w:rPr>
        <w:t> </w:t>
      </w:r>
    </w:p>
    <w:p w14:paraId="63CEA810" w14:textId="5C68C15C" w:rsidR="00AA2265" w:rsidRPr="00AA2265" w:rsidRDefault="00AA2265" w:rsidP="00AA2265">
      <w:pPr>
        <w:pStyle w:val="NormalWeb"/>
        <w:rPr>
          <w:rFonts w:ascii="Calibri" w:hAnsi="Calibri" w:cs="Calibri"/>
          <w:color w:val="000000"/>
        </w:rPr>
      </w:pPr>
      <w:r w:rsidRPr="00AA2265">
        <w:rPr>
          <w:rFonts w:ascii="Calibri" w:hAnsi="Calibri" w:cs="Calibri"/>
          <w:color w:val="000000"/>
        </w:rPr>
        <w:t>We’ve also learned that access is as physical as it is cultural. The accessible pathways through Front Square in 2010 weren’t just granite; they were a statement of intent</w:t>
      </w:r>
      <w:r w:rsidR="00BC45F4">
        <w:rPr>
          <w:rFonts w:ascii="Calibri" w:hAnsi="Calibri" w:cs="Calibri"/>
          <w:color w:val="000000"/>
        </w:rPr>
        <w:t xml:space="preserve"> </w:t>
      </w:r>
      <w:r w:rsidRPr="00AA2265">
        <w:rPr>
          <w:rFonts w:ascii="Calibri" w:hAnsi="Calibri" w:cs="Calibri"/>
          <w:color w:val="000000"/>
        </w:rPr>
        <w:t>about desire lines, dignity, and the right to be in the heart of Trinity, not skirting its edges. Those paths said, “this campus is for you.”</w:t>
      </w:r>
      <w:r w:rsidRPr="00AA2265">
        <w:rPr>
          <w:rStyle w:val="apple-converted-space"/>
          <w:rFonts w:ascii="Calibri" w:eastAsiaTheme="majorEastAsia" w:hAnsi="Calibri" w:cs="Calibri"/>
          <w:color w:val="000000"/>
        </w:rPr>
        <w:t> </w:t>
      </w:r>
    </w:p>
    <w:p w14:paraId="0A12670D" w14:textId="025F16BF" w:rsidR="00AA2265" w:rsidRPr="00AA2265" w:rsidRDefault="00AA2265" w:rsidP="00AA2265">
      <w:pPr>
        <w:pStyle w:val="NormalWeb"/>
        <w:rPr>
          <w:rFonts w:ascii="Calibri" w:hAnsi="Calibri" w:cs="Calibri"/>
          <w:color w:val="000000"/>
        </w:rPr>
      </w:pPr>
      <w:r w:rsidRPr="00AA2265">
        <w:rPr>
          <w:rFonts w:ascii="Calibri" w:hAnsi="Calibri" w:cs="Calibri"/>
          <w:color w:val="000000"/>
        </w:rPr>
        <w:t>Policy matters too. In 2009, the DARE scheme brought a unified national route into higher education for disabled students</w:t>
      </w:r>
      <w:r w:rsidR="00BC45F4">
        <w:rPr>
          <w:rFonts w:ascii="Calibri" w:hAnsi="Calibri" w:cs="Calibri"/>
          <w:color w:val="000000"/>
        </w:rPr>
        <w:t xml:space="preserve">, </w:t>
      </w:r>
      <w:r w:rsidRPr="00AA2265">
        <w:rPr>
          <w:rFonts w:ascii="Calibri" w:hAnsi="Calibri" w:cs="Calibri"/>
          <w:color w:val="000000"/>
        </w:rPr>
        <w:t>shaped in part by work led from this community. And in 2018, Trinity approved Ireland’s first university Reasonable Accommodation Policy</w:t>
      </w:r>
      <w:r w:rsidR="00BC45F4">
        <w:rPr>
          <w:rFonts w:ascii="Calibri" w:hAnsi="Calibri" w:cs="Calibri"/>
          <w:color w:val="000000"/>
        </w:rPr>
        <w:t xml:space="preserve"> </w:t>
      </w:r>
      <w:r w:rsidRPr="00AA2265">
        <w:rPr>
          <w:rFonts w:ascii="Calibri" w:hAnsi="Calibri" w:cs="Calibri"/>
          <w:color w:val="000000"/>
        </w:rPr>
        <w:t>setting a sectoral standard for how we identify, document, and implement support. Frameworks like these turn goodwill into guarantees.</w:t>
      </w:r>
      <w:r w:rsidRPr="00AA2265">
        <w:rPr>
          <w:rStyle w:val="apple-converted-space"/>
          <w:rFonts w:ascii="Calibri" w:eastAsiaTheme="majorEastAsia" w:hAnsi="Calibri" w:cs="Calibri"/>
          <w:color w:val="000000"/>
        </w:rPr>
        <w:t> </w:t>
      </w:r>
    </w:p>
    <w:p w14:paraId="7F080D26" w14:textId="1500E2F0" w:rsidR="00AA2265" w:rsidRPr="00AA2265" w:rsidRDefault="00AA2265" w:rsidP="00AA2265">
      <w:pPr>
        <w:pStyle w:val="NormalWeb"/>
        <w:rPr>
          <w:rFonts w:ascii="Calibri" w:hAnsi="Calibri" w:cs="Calibri"/>
          <w:color w:val="000000"/>
        </w:rPr>
      </w:pPr>
      <w:r w:rsidRPr="00AA2265">
        <w:rPr>
          <w:rFonts w:ascii="Calibri" w:hAnsi="Calibri" w:cs="Calibri"/>
          <w:color w:val="000000"/>
        </w:rPr>
        <w:lastRenderedPageBreak/>
        <w:t xml:space="preserve">Spaces matter. In 2022 we opened the Trinity </w:t>
      </w:r>
      <w:proofErr w:type="spellStart"/>
      <w:r w:rsidRPr="00AA2265">
        <w:rPr>
          <w:rFonts w:ascii="Calibri" w:hAnsi="Calibri" w:cs="Calibri"/>
          <w:color w:val="000000"/>
        </w:rPr>
        <w:t>disAbility</w:t>
      </w:r>
      <w:proofErr w:type="spellEnd"/>
      <w:r w:rsidRPr="00AA2265">
        <w:rPr>
          <w:rFonts w:ascii="Calibri" w:hAnsi="Calibri" w:cs="Calibri"/>
          <w:color w:val="000000"/>
        </w:rPr>
        <w:t xml:space="preserve"> Hub in Printing House Square. It’s more than a building; it’s a working symbol of the values in this booklet—co-creation, visibility, and empowerment</w:t>
      </w:r>
      <w:r w:rsidR="00BC45F4">
        <w:rPr>
          <w:rFonts w:ascii="Calibri" w:hAnsi="Calibri" w:cs="Calibri"/>
          <w:color w:val="000000"/>
        </w:rPr>
        <w:t xml:space="preserve"> </w:t>
      </w:r>
      <w:r w:rsidRPr="00AA2265">
        <w:rPr>
          <w:rFonts w:ascii="Calibri" w:hAnsi="Calibri" w:cs="Calibri"/>
          <w:color w:val="000000"/>
        </w:rPr>
        <w:t>home to six meeting rooms named for disabled Trinity leaders whose achievements are literally built into our walls.</w:t>
      </w:r>
      <w:r w:rsidRPr="00AA2265">
        <w:rPr>
          <w:rStyle w:val="apple-converted-space"/>
          <w:rFonts w:ascii="Calibri" w:eastAsiaTheme="majorEastAsia" w:hAnsi="Calibri" w:cs="Calibri"/>
          <w:color w:val="000000"/>
        </w:rPr>
        <w:t> </w:t>
      </w:r>
    </w:p>
    <w:p w14:paraId="72ED6A2E" w14:textId="77F1BB8C" w:rsidR="00AA2265" w:rsidRPr="00AA2265" w:rsidRDefault="00AA2265" w:rsidP="00AA2265">
      <w:pPr>
        <w:pStyle w:val="NormalWeb"/>
        <w:rPr>
          <w:rFonts w:ascii="Calibri" w:hAnsi="Calibri" w:cs="Calibri"/>
          <w:color w:val="000000"/>
        </w:rPr>
      </w:pPr>
      <w:r w:rsidRPr="00AA2265">
        <w:rPr>
          <w:rFonts w:ascii="Calibri" w:hAnsi="Calibri" w:cs="Calibri"/>
          <w:color w:val="000000"/>
        </w:rPr>
        <w:t>And we keep innovating. In 2023 we launched the TCD Sense Map</w:t>
      </w:r>
      <w:r w:rsidR="00BC45F4">
        <w:rPr>
          <w:rFonts w:ascii="Calibri" w:hAnsi="Calibri" w:cs="Calibri"/>
          <w:color w:val="000000"/>
        </w:rPr>
        <w:t xml:space="preserve"> </w:t>
      </w:r>
      <w:r w:rsidRPr="00AA2265">
        <w:rPr>
          <w:rFonts w:ascii="Calibri" w:hAnsi="Calibri" w:cs="Calibri"/>
          <w:color w:val="000000"/>
        </w:rPr>
        <w:t>designed with neurodivergent interns and an engineering graduate—so people can navigate campus not only by buildings, but by sensory reality. In 2024 we expanded user-led auditing with the ULAA-Tool and grew inclusive internships across the university. These are the kinds of practical tools that change daily experience, not just policy documents.</w:t>
      </w:r>
      <w:r w:rsidRPr="00AA2265">
        <w:rPr>
          <w:rStyle w:val="apple-converted-space"/>
          <w:rFonts w:ascii="Calibri" w:eastAsiaTheme="majorEastAsia" w:hAnsi="Calibri" w:cs="Calibri"/>
          <w:color w:val="000000"/>
        </w:rPr>
        <w:t> </w:t>
      </w:r>
    </w:p>
    <w:p w14:paraId="190F5ED3" w14:textId="6F1B31C2" w:rsidR="00AA2265" w:rsidRPr="00AA2265" w:rsidRDefault="00AA2265" w:rsidP="00AA2265">
      <w:pPr>
        <w:pStyle w:val="NormalWeb"/>
        <w:rPr>
          <w:rFonts w:ascii="Calibri" w:hAnsi="Calibri" w:cs="Calibri"/>
          <w:color w:val="000000"/>
        </w:rPr>
      </w:pPr>
      <w:r w:rsidRPr="00AA2265">
        <w:rPr>
          <w:rFonts w:ascii="Calibri" w:hAnsi="Calibri" w:cs="Calibri"/>
          <w:color w:val="000000"/>
        </w:rPr>
        <w:t>All of this sits alongside a sustainability charter that changed how we operate</w:t>
      </w:r>
      <w:r w:rsidR="00BC45F4">
        <w:rPr>
          <w:rFonts w:ascii="Calibri" w:hAnsi="Calibri" w:cs="Calibri"/>
          <w:color w:val="000000"/>
        </w:rPr>
        <w:t xml:space="preserve">, </w:t>
      </w:r>
      <w:r w:rsidRPr="00AA2265">
        <w:rPr>
          <w:rFonts w:ascii="Calibri" w:hAnsi="Calibri" w:cs="Calibri"/>
          <w:color w:val="000000"/>
        </w:rPr>
        <w:t>paperless by design, no desk bins, digital notebooks</w:t>
      </w:r>
      <w:r w:rsidR="00BC45F4">
        <w:rPr>
          <w:rFonts w:ascii="Calibri" w:hAnsi="Calibri" w:cs="Calibri"/>
          <w:color w:val="000000"/>
        </w:rPr>
        <w:t xml:space="preserve"> </w:t>
      </w:r>
      <w:r w:rsidRPr="00AA2265">
        <w:rPr>
          <w:rFonts w:ascii="Calibri" w:hAnsi="Calibri" w:cs="Calibri"/>
          <w:color w:val="000000"/>
        </w:rPr>
        <w:t>because inclusion and sustainability belong together. They’re both about stewardship and care.</w:t>
      </w:r>
      <w:r w:rsidRPr="00AA2265">
        <w:rPr>
          <w:rStyle w:val="apple-converted-space"/>
          <w:rFonts w:ascii="Calibri" w:eastAsiaTheme="majorEastAsia" w:hAnsi="Calibri" w:cs="Calibri"/>
          <w:color w:val="000000"/>
        </w:rPr>
        <w:t> </w:t>
      </w:r>
    </w:p>
    <w:p w14:paraId="7DB57EB8" w14:textId="77777777" w:rsidR="00AA2265" w:rsidRPr="00AA2265" w:rsidRDefault="00AA2265" w:rsidP="00AA2265">
      <w:pPr>
        <w:pStyle w:val="NormalWeb"/>
        <w:rPr>
          <w:rFonts w:ascii="Calibri" w:hAnsi="Calibri" w:cs="Calibri"/>
          <w:color w:val="000000"/>
        </w:rPr>
      </w:pPr>
      <w:r w:rsidRPr="00AA2265">
        <w:rPr>
          <w:rFonts w:ascii="Calibri" w:hAnsi="Calibri" w:cs="Calibri"/>
          <w:color w:val="000000"/>
        </w:rPr>
        <w:t>But the most important line in this whole story is the one that runs through our students: students who asked why they couldn’t go to the Pav “like everyone else,” and then helped make sure everyone could; students who designed logos, mapped sensory routes, audited spaces, and led campaigns; students who became colleagues and partners. That’s the heart of this journey.</w:t>
      </w:r>
      <w:r w:rsidRPr="00AA2265">
        <w:rPr>
          <w:rStyle w:val="apple-converted-space"/>
          <w:rFonts w:ascii="Calibri" w:eastAsiaTheme="majorEastAsia" w:hAnsi="Calibri" w:cs="Calibri"/>
          <w:color w:val="000000"/>
        </w:rPr>
        <w:t> </w:t>
      </w:r>
    </w:p>
    <w:p w14:paraId="36CB5048" w14:textId="11ED7E13" w:rsidR="00AA2265" w:rsidRPr="00AA2265" w:rsidRDefault="00AA2265" w:rsidP="00AA2265">
      <w:pPr>
        <w:pStyle w:val="NormalWeb"/>
        <w:rPr>
          <w:rFonts w:ascii="Calibri" w:hAnsi="Calibri" w:cs="Calibri"/>
          <w:color w:val="000000"/>
        </w:rPr>
      </w:pPr>
      <w:r w:rsidRPr="00AA2265">
        <w:rPr>
          <w:rFonts w:ascii="Calibri" w:hAnsi="Calibri" w:cs="Calibri"/>
          <w:color w:val="000000"/>
        </w:rPr>
        <w:t>So</w:t>
      </w:r>
      <w:r w:rsidR="00BC45F4">
        <w:rPr>
          <w:rFonts w:ascii="Calibri" w:hAnsi="Calibri" w:cs="Calibri"/>
          <w:color w:val="000000"/>
        </w:rPr>
        <w:t xml:space="preserve"> </w:t>
      </w:r>
      <w:r w:rsidRPr="00AA2265">
        <w:rPr>
          <w:rFonts w:ascii="Calibri" w:hAnsi="Calibri" w:cs="Calibri"/>
          <w:color w:val="000000"/>
        </w:rPr>
        <w:t>what’s on the next page?</w:t>
      </w:r>
    </w:p>
    <w:p w14:paraId="30D3A22A" w14:textId="2A04508B" w:rsidR="00AA2265" w:rsidRPr="00AA2265" w:rsidRDefault="00AA2265" w:rsidP="00AA2265">
      <w:pPr>
        <w:pStyle w:val="NormalWeb"/>
        <w:rPr>
          <w:rFonts w:ascii="Calibri" w:hAnsi="Calibri" w:cs="Calibri"/>
          <w:color w:val="000000"/>
        </w:rPr>
      </w:pPr>
      <w:r w:rsidRPr="00AA2265">
        <w:rPr>
          <w:rFonts w:ascii="Calibri" w:hAnsi="Calibri" w:cs="Calibri"/>
          <w:color w:val="000000"/>
        </w:rPr>
        <w:t>First, scale what works. In 2025 we’ve been putting the plumbing in place: a person-centred CRM, school-level Power BI dashboards, and alignment between SITS and Blackboard Ultra so that accommodations flow with learning and assessment. It’s not glamorous</w:t>
      </w:r>
      <w:r w:rsidR="00BC45F4">
        <w:rPr>
          <w:rFonts w:ascii="Calibri" w:hAnsi="Calibri" w:cs="Calibri"/>
          <w:color w:val="000000"/>
        </w:rPr>
        <w:t xml:space="preserve"> </w:t>
      </w:r>
      <w:r w:rsidRPr="00AA2265">
        <w:rPr>
          <w:rFonts w:ascii="Calibri" w:hAnsi="Calibri" w:cs="Calibri"/>
          <w:color w:val="000000"/>
        </w:rPr>
        <w:t>but it’s how good practice becomes standard practice.</w:t>
      </w:r>
      <w:r w:rsidRPr="00AA2265">
        <w:rPr>
          <w:rStyle w:val="apple-converted-space"/>
          <w:rFonts w:ascii="Calibri" w:eastAsiaTheme="majorEastAsia" w:hAnsi="Calibri" w:cs="Calibri"/>
          <w:color w:val="000000"/>
        </w:rPr>
        <w:t> </w:t>
      </w:r>
    </w:p>
    <w:p w14:paraId="4200EE17" w14:textId="17E5436E" w:rsidR="00AA2265" w:rsidRPr="00AA2265" w:rsidRDefault="00AA2265" w:rsidP="00AA2265">
      <w:pPr>
        <w:pStyle w:val="NormalWeb"/>
        <w:rPr>
          <w:rFonts w:ascii="Calibri" w:hAnsi="Calibri" w:cs="Calibri"/>
          <w:color w:val="000000"/>
        </w:rPr>
      </w:pPr>
      <w:r w:rsidRPr="00AA2265">
        <w:rPr>
          <w:rFonts w:ascii="Calibri" w:hAnsi="Calibri" w:cs="Calibri"/>
          <w:color w:val="000000"/>
        </w:rPr>
        <w:t xml:space="preserve">Second, grow leadership and employment. The Inclusive Internship Programme is now college-wide; the </w:t>
      </w:r>
      <w:r w:rsidR="00BC45F4">
        <w:rPr>
          <w:rFonts w:ascii="Calibri" w:hAnsi="Calibri" w:cs="Calibri"/>
          <w:color w:val="000000"/>
        </w:rPr>
        <w:t xml:space="preserve">Trinity </w:t>
      </w:r>
      <w:r w:rsidRPr="00AA2265">
        <w:rPr>
          <w:rFonts w:ascii="Calibri" w:hAnsi="Calibri" w:cs="Calibri"/>
          <w:color w:val="000000"/>
        </w:rPr>
        <w:t xml:space="preserve">Ability </w:t>
      </w:r>
      <w:proofErr w:type="spellStart"/>
      <w:r w:rsidRPr="00AA2265">
        <w:rPr>
          <w:rFonts w:ascii="Calibri" w:hAnsi="Calibri" w:cs="Calibri"/>
          <w:color w:val="000000"/>
        </w:rPr>
        <w:t>co_op</w:t>
      </w:r>
      <w:proofErr w:type="spellEnd"/>
      <w:r w:rsidRPr="00AA2265">
        <w:rPr>
          <w:rFonts w:ascii="Calibri" w:hAnsi="Calibri" w:cs="Calibri"/>
          <w:color w:val="000000"/>
        </w:rPr>
        <w:t xml:space="preserve"> is recognised as a Disabled Persons Organisation; and our Leaders’ Project keeps reminding us that talent is everywhere when the system is fair. We’ll keep opening doors</w:t>
      </w:r>
      <w:r w:rsidR="00BC45F4">
        <w:rPr>
          <w:rFonts w:ascii="Calibri" w:hAnsi="Calibri" w:cs="Calibri"/>
          <w:color w:val="000000"/>
        </w:rPr>
        <w:t xml:space="preserve">, </w:t>
      </w:r>
      <w:r w:rsidRPr="00AA2265">
        <w:rPr>
          <w:rFonts w:ascii="Calibri" w:hAnsi="Calibri" w:cs="Calibri"/>
          <w:color w:val="000000"/>
        </w:rPr>
        <w:t>placements, mentoring, and an Employability Passport so every student can graduate with confidence.</w:t>
      </w:r>
      <w:r w:rsidRPr="00AA2265">
        <w:rPr>
          <w:rStyle w:val="apple-converted-space"/>
          <w:rFonts w:ascii="Calibri" w:eastAsiaTheme="majorEastAsia" w:hAnsi="Calibri" w:cs="Calibri"/>
          <w:color w:val="000000"/>
        </w:rPr>
        <w:t> </w:t>
      </w:r>
    </w:p>
    <w:p w14:paraId="38BAB11D" w14:textId="1D5B41EB" w:rsidR="00AA2265" w:rsidRPr="00AA2265" w:rsidRDefault="00AA2265" w:rsidP="00AA2265">
      <w:pPr>
        <w:pStyle w:val="NormalWeb"/>
        <w:rPr>
          <w:rFonts w:ascii="Calibri" w:hAnsi="Calibri" w:cs="Calibri"/>
          <w:color w:val="000000"/>
        </w:rPr>
      </w:pPr>
      <w:r w:rsidRPr="00AA2265">
        <w:rPr>
          <w:rFonts w:ascii="Calibri" w:hAnsi="Calibri" w:cs="Calibri"/>
          <w:color w:val="000000"/>
        </w:rPr>
        <w:t xml:space="preserve">Third, transform the estate with a Universal Access plan—five years of user-led improvements—so that teaching, learning, and movement through Trinity feel seamless. We </w:t>
      </w:r>
      <w:r w:rsidR="00BC45F4">
        <w:rPr>
          <w:rFonts w:ascii="Calibri" w:hAnsi="Calibri" w:cs="Calibri"/>
          <w:color w:val="000000"/>
        </w:rPr>
        <w:t>will</w:t>
      </w:r>
      <w:r w:rsidRPr="00AA2265">
        <w:rPr>
          <w:rFonts w:ascii="Calibri" w:hAnsi="Calibri" w:cs="Calibri"/>
          <w:color w:val="000000"/>
        </w:rPr>
        <w:t xml:space="preserve"> have a dedicated project manager and a roadmap to act on what students have already told us through ULAA.</w:t>
      </w:r>
      <w:r w:rsidRPr="00AA2265">
        <w:rPr>
          <w:rStyle w:val="apple-converted-space"/>
          <w:rFonts w:ascii="Calibri" w:eastAsiaTheme="majorEastAsia" w:hAnsi="Calibri" w:cs="Calibri"/>
          <w:color w:val="000000"/>
        </w:rPr>
        <w:t> </w:t>
      </w:r>
    </w:p>
    <w:p w14:paraId="4331FE8B" w14:textId="3BD89371" w:rsidR="00BC45F4" w:rsidRPr="00BC45F4" w:rsidRDefault="00BC45F4" w:rsidP="00AA2265">
      <w:pPr>
        <w:pStyle w:val="NormalWeb"/>
        <w:rPr>
          <w:rFonts w:ascii="Calibri" w:hAnsi="Calibri" w:cs="Calibri"/>
          <w:color w:val="000000"/>
        </w:rPr>
      </w:pPr>
      <w:r w:rsidRPr="00BC45F4">
        <w:rPr>
          <w:rFonts w:ascii="Calibri" w:hAnsi="Calibri" w:cs="Calibri"/>
          <w:color w:val="000000"/>
        </w:rPr>
        <w:t xml:space="preserve">As the Provost launches her first strategic plan tomorrow—Thrive—embedding inclusion through people, purpose, and place, we set our course accordingly. </w:t>
      </w:r>
      <w:r w:rsidR="003A7194">
        <w:rPr>
          <w:rFonts w:ascii="Calibri" w:hAnsi="Calibri" w:cs="Calibri"/>
          <w:color w:val="000000"/>
        </w:rPr>
        <w:t>W</w:t>
      </w:r>
      <w:r w:rsidRPr="00BC45F4">
        <w:rPr>
          <w:rFonts w:ascii="Calibri" w:hAnsi="Calibri" w:cs="Calibri"/>
          <w:color w:val="000000"/>
        </w:rPr>
        <w:t xml:space="preserve">e’ll anchor all of this in a new </w:t>
      </w:r>
      <w:r w:rsidR="003A7194">
        <w:rPr>
          <w:rFonts w:ascii="Calibri" w:hAnsi="Calibri" w:cs="Calibri"/>
          <w:color w:val="000000"/>
        </w:rPr>
        <w:t xml:space="preserve">Access &amp; </w:t>
      </w:r>
      <w:proofErr w:type="spellStart"/>
      <w:r w:rsidRPr="00BC45F4">
        <w:rPr>
          <w:rFonts w:ascii="Calibri" w:hAnsi="Calibri" w:cs="Calibri"/>
          <w:color w:val="000000"/>
        </w:rPr>
        <w:t>disAbility</w:t>
      </w:r>
      <w:proofErr w:type="spellEnd"/>
      <w:r w:rsidRPr="00BC45F4">
        <w:rPr>
          <w:rFonts w:ascii="Calibri" w:hAnsi="Calibri" w:cs="Calibri"/>
          <w:color w:val="000000"/>
        </w:rPr>
        <w:t xml:space="preserve"> Action Plan, 2025–2030, our promise to “leave no one behind.” The plan introduces the Trinity Inclusive Integrated Model (TIIM) and a “Fourth Space” where disabled students and staff are not just participants in services, but co-creators of policy, research, and culture across the university. That’s the shift: from support for to leadership with.</w:t>
      </w:r>
    </w:p>
    <w:p w14:paraId="686DA10F" w14:textId="4E80EDDC" w:rsidR="00AA2265" w:rsidRPr="00AA2265" w:rsidRDefault="00AA2265" w:rsidP="00AA2265">
      <w:pPr>
        <w:pStyle w:val="NormalWeb"/>
        <w:rPr>
          <w:rFonts w:ascii="Calibri" w:hAnsi="Calibri" w:cs="Calibri"/>
          <w:color w:val="000000"/>
        </w:rPr>
      </w:pPr>
      <w:r w:rsidRPr="00AA2265">
        <w:rPr>
          <w:rFonts w:ascii="Calibri" w:hAnsi="Calibri" w:cs="Calibri"/>
          <w:color w:val="000000"/>
        </w:rPr>
        <w:t>Our four pillars keep us honest:</w:t>
      </w:r>
    </w:p>
    <w:p w14:paraId="50C8A86C" w14:textId="77777777" w:rsidR="00AA2265" w:rsidRPr="00AA2265" w:rsidRDefault="00AA2265" w:rsidP="00AA2265">
      <w:pPr>
        <w:pStyle w:val="NormalWeb"/>
        <w:numPr>
          <w:ilvl w:val="0"/>
          <w:numId w:val="1"/>
        </w:numPr>
        <w:rPr>
          <w:rFonts w:ascii="Calibri" w:hAnsi="Calibri" w:cs="Calibri"/>
          <w:color w:val="000000"/>
        </w:rPr>
      </w:pPr>
      <w:proofErr w:type="spellStart"/>
      <w:r w:rsidRPr="00AA2265">
        <w:rPr>
          <w:rFonts w:ascii="Calibri" w:hAnsi="Calibri" w:cs="Calibri"/>
          <w:color w:val="000000"/>
        </w:rPr>
        <w:lastRenderedPageBreak/>
        <w:t>disAbled</w:t>
      </w:r>
      <w:proofErr w:type="spellEnd"/>
      <w:r w:rsidRPr="00AA2265">
        <w:rPr>
          <w:rFonts w:ascii="Calibri" w:hAnsi="Calibri" w:cs="Calibri"/>
          <w:color w:val="000000"/>
        </w:rPr>
        <w:t xml:space="preserve"> Partnerships &amp; Leadership: embedding lived experience in governance and design.</w:t>
      </w:r>
    </w:p>
    <w:p w14:paraId="3CF20742" w14:textId="77777777" w:rsidR="00AA2265" w:rsidRPr="00AA2265" w:rsidRDefault="00AA2265" w:rsidP="00AA2265">
      <w:pPr>
        <w:pStyle w:val="NormalWeb"/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AA2265">
        <w:rPr>
          <w:rFonts w:ascii="Calibri" w:hAnsi="Calibri" w:cs="Calibri"/>
          <w:color w:val="000000"/>
        </w:rPr>
        <w:t>Enhanced Employability: targeted routes into meaningful work and leadership.</w:t>
      </w:r>
    </w:p>
    <w:p w14:paraId="2C0D4884" w14:textId="77777777" w:rsidR="00AA2265" w:rsidRPr="00AA2265" w:rsidRDefault="00AA2265" w:rsidP="00AA2265">
      <w:pPr>
        <w:pStyle w:val="NormalWeb"/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AA2265">
        <w:rPr>
          <w:rFonts w:ascii="Calibri" w:hAnsi="Calibri" w:cs="Calibri"/>
          <w:color w:val="000000"/>
        </w:rPr>
        <w:t>Research, Innovation &amp; the Hub: a centre of excellence with global reach.</w:t>
      </w:r>
    </w:p>
    <w:p w14:paraId="14A3CC1E" w14:textId="77777777" w:rsidR="00AA2265" w:rsidRPr="00AA2265" w:rsidRDefault="00AA2265" w:rsidP="00AA2265">
      <w:pPr>
        <w:pStyle w:val="NormalWeb"/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AA2265">
        <w:rPr>
          <w:rFonts w:ascii="Calibri" w:hAnsi="Calibri" w:cs="Calibri"/>
          <w:color w:val="000000"/>
        </w:rPr>
        <w:t>Embedding Access &amp; Inclusion: universal design—physical, digital, and pedagogical—everywhere.</w:t>
      </w:r>
      <w:r w:rsidRPr="00AA2265">
        <w:rPr>
          <w:rStyle w:val="apple-converted-space"/>
          <w:rFonts w:ascii="Calibri" w:eastAsiaTheme="majorEastAsia" w:hAnsi="Calibri" w:cs="Calibri"/>
          <w:color w:val="000000"/>
        </w:rPr>
        <w:t> </w:t>
      </w:r>
    </w:p>
    <w:p w14:paraId="1A9ADF1C" w14:textId="77777777" w:rsidR="003A7194" w:rsidRDefault="003A7194" w:rsidP="00AA2265">
      <w:pPr>
        <w:pStyle w:val="NormalWeb"/>
        <w:rPr>
          <w:rFonts w:ascii="Calibri" w:hAnsi="Calibri" w:cs="Calibri"/>
          <w:color w:val="000000"/>
        </w:rPr>
      </w:pPr>
      <w:r w:rsidRPr="003A7194">
        <w:rPr>
          <w:rFonts w:ascii="Calibri" w:hAnsi="Calibri" w:cs="Calibri"/>
          <w:color w:val="000000"/>
        </w:rPr>
        <w:t>But plans are only as good as the people who deliver them. So let me say a few thank-</w:t>
      </w:r>
      <w:proofErr w:type="spellStart"/>
      <w:r w:rsidRPr="003A7194">
        <w:rPr>
          <w:rFonts w:ascii="Calibri" w:hAnsi="Calibri" w:cs="Calibri"/>
          <w:color w:val="000000"/>
        </w:rPr>
        <w:t>yous</w:t>
      </w:r>
      <w:proofErr w:type="spellEnd"/>
      <w:r w:rsidRPr="003A7194">
        <w:rPr>
          <w:rFonts w:ascii="Calibri" w:hAnsi="Calibri" w:cs="Calibri"/>
          <w:color w:val="000000"/>
        </w:rPr>
        <w:t>.</w:t>
      </w:r>
      <w:r w:rsidRPr="003A7194">
        <w:rPr>
          <w:rFonts w:ascii="Calibri" w:hAnsi="Calibri" w:cs="Calibri"/>
          <w:color w:val="000000"/>
        </w:rPr>
        <w:br/>
      </w:r>
    </w:p>
    <w:p w14:paraId="0F8B4292" w14:textId="77777777" w:rsidR="003A7194" w:rsidRDefault="003A7194" w:rsidP="00AA2265">
      <w:pPr>
        <w:pStyle w:val="NormalWeb"/>
        <w:rPr>
          <w:rFonts w:ascii="Calibri" w:hAnsi="Calibri" w:cs="Calibri"/>
          <w:color w:val="000000"/>
        </w:rPr>
      </w:pPr>
      <w:r w:rsidRPr="003A7194">
        <w:rPr>
          <w:rFonts w:ascii="Calibri" w:hAnsi="Calibri" w:cs="Calibri"/>
          <w:color w:val="000000"/>
        </w:rPr>
        <w:t>To the students, past and present, who challenged us, partnered with us, and trusted us: thank you for your courage and your candour.</w:t>
      </w:r>
      <w:r w:rsidRPr="003A7194">
        <w:rPr>
          <w:rFonts w:ascii="Calibri" w:hAnsi="Calibri" w:cs="Calibri"/>
          <w:color w:val="000000"/>
        </w:rPr>
        <w:br/>
      </w:r>
    </w:p>
    <w:p w14:paraId="5DDB2B8B" w14:textId="77777777" w:rsidR="003A7194" w:rsidRDefault="003A7194" w:rsidP="00AA2265">
      <w:pPr>
        <w:pStyle w:val="NormalWeb"/>
        <w:rPr>
          <w:rFonts w:ascii="Calibri" w:hAnsi="Calibri" w:cs="Calibri"/>
          <w:color w:val="000000"/>
        </w:rPr>
      </w:pPr>
      <w:r w:rsidRPr="003A7194">
        <w:rPr>
          <w:rFonts w:ascii="Calibri" w:hAnsi="Calibri" w:cs="Calibri"/>
          <w:color w:val="000000"/>
        </w:rPr>
        <w:t>To colleagues across Schools, Student Services, TAP, Estates &amp; Facilities, the Library, Academic Registry, Careers, and more—thank you for proving, again and again, that inclusion is a team sport.</w:t>
      </w:r>
      <w:r w:rsidRPr="003A7194">
        <w:rPr>
          <w:rFonts w:ascii="Calibri" w:hAnsi="Calibri" w:cs="Calibri"/>
          <w:color w:val="000000"/>
        </w:rPr>
        <w:br/>
      </w:r>
    </w:p>
    <w:p w14:paraId="0B1A6CA0" w14:textId="77777777" w:rsidR="003A7194" w:rsidRDefault="003A7194" w:rsidP="00AA2265">
      <w:pPr>
        <w:pStyle w:val="NormalWeb"/>
        <w:rPr>
          <w:rFonts w:ascii="Calibri" w:hAnsi="Calibri" w:cs="Calibri"/>
          <w:color w:val="000000"/>
        </w:rPr>
      </w:pPr>
      <w:r w:rsidRPr="003A7194">
        <w:rPr>
          <w:rFonts w:ascii="Calibri" w:hAnsi="Calibri" w:cs="Calibri"/>
          <w:color w:val="000000"/>
        </w:rPr>
        <w:t>To our champions in leadership—Provost and senior colleagues—thank you for the policy decisions, the funding, and the permission structures that made change possible.</w:t>
      </w:r>
      <w:r w:rsidRPr="003A7194">
        <w:rPr>
          <w:rFonts w:ascii="Calibri" w:hAnsi="Calibri" w:cs="Calibri"/>
          <w:color w:val="000000"/>
        </w:rPr>
        <w:br/>
      </w:r>
    </w:p>
    <w:p w14:paraId="3621104F" w14:textId="77777777" w:rsidR="003A7194" w:rsidRDefault="003A7194" w:rsidP="00AA2265">
      <w:pPr>
        <w:pStyle w:val="NormalWeb"/>
        <w:rPr>
          <w:rFonts w:ascii="Calibri" w:hAnsi="Calibri" w:cs="Calibri"/>
          <w:color w:val="000000"/>
        </w:rPr>
      </w:pPr>
      <w:r w:rsidRPr="003A7194">
        <w:rPr>
          <w:rFonts w:ascii="Calibri" w:hAnsi="Calibri" w:cs="Calibri"/>
          <w:color w:val="000000"/>
        </w:rPr>
        <w:t>To the Director of Student Services: your leadership has helped embed disability inclusion as a thread running through everything we do, extending our reach and impact—thank you.</w:t>
      </w:r>
      <w:r w:rsidRPr="003A7194">
        <w:rPr>
          <w:rFonts w:ascii="Calibri" w:hAnsi="Calibri" w:cs="Calibri"/>
          <w:color w:val="000000"/>
        </w:rPr>
        <w:br/>
      </w:r>
    </w:p>
    <w:p w14:paraId="745B52AF" w14:textId="77777777" w:rsidR="003A7194" w:rsidRDefault="003A7194" w:rsidP="00AA2265">
      <w:pPr>
        <w:pStyle w:val="NormalWeb"/>
        <w:rPr>
          <w:rFonts w:ascii="Calibri" w:hAnsi="Calibri" w:cs="Calibri"/>
          <w:color w:val="000000"/>
        </w:rPr>
      </w:pPr>
      <w:r w:rsidRPr="003A7194">
        <w:rPr>
          <w:rFonts w:ascii="Calibri" w:hAnsi="Calibri" w:cs="Calibri"/>
          <w:color w:val="000000"/>
        </w:rPr>
        <w:t>To our alumni and external partners, who have opened internships, shared expertise, and widened the path beyond graduation—thank you.</w:t>
      </w:r>
      <w:r w:rsidRPr="003A7194">
        <w:rPr>
          <w:rFonts w:ascii="Calibri" w:hAnsi="Calibri" w:cs="Calibri"/>
          <w:color w:val="000000"/>
        </w:rPr>
        <w:br/>
      </w:r>
    </w:p>
    <w:p w14:paraId="41653638" w14:textId="7684D33B" w:rsidR="003A7194" w:rsidRPr="003A7194" w:rsidRDefault="003A7194" w:rsidP="00AA2265">
      <w:pPr>
        <w:pStyle w:val="NormalWeb"/>
        <w:rPr>
          <w:rFonts w:ascii="Calibri" w:hAnsi="Calibri" w:cs="Calibri"/>
          <w:color w:val="000000"/>
        </w:rPr>
      </w:pPr>
      <w:r w:rsidRPr="003A7194">
        <w:rPr>
          <w:rFonts w:ascii="Calibri" w:hAnsi="Calibri" w:cs="Calibri"/>
          <w:color w:val="000000"/>
        </w:rPr>
        <w:t xml:space="preserve">And to the </w:t>
      </w:r>
      <w:proofErr w:type="spellStart"/>
      <w:r w:rsidRPr="003A7194">
        <w:rPr>
          <w:rFonts w:ascii="Calibri" w:hAnsi="Calibri" w:cs="Calibri"/>
          <w:color w:val="000000"/>
        </w:rPr>
        <w:t>disAbility</w:t>
      </w:r>
      <w:proofErr w:type="spellEnd"/>
      <w:r w:rsidRPr="003A7194">
        <w:rPr>
          <w:rFonts w:ascii="Calibri" w:hAnsi="Calibri" w:cs="Calibri"/>
          <w:color w:val="000000"/>
        </w:rPr>
        <w:t xml:space="preserve"> Service team</w:t>
      </w:r>
      <w:r>
        <w:rPr>
          <w:rFonts w:ascii="Calibri" w:hAnsi="Calibri" w:cs="Calibri"/>
          <w:color w:val="000000"/>
        </w:rPr>
        <w:t xml:space="preserve"> (past and present)</w:t>
      </w:r>
      <w:r w:rsidRPr="003A7194">
        <w:rPr>
          <w:rFonts w:ascii="Calibri" w:hAnsi="Calibri" w:cs="Calibri"/>
          <w:color w:val="000000"/>
        </w:rPr>
        <w:t>: you are the reason this booklet has so many pages.</w:t>
      </w:r>
    </w:p>
    <w:p w14:paraId="160B50AD" w14:textId="41A3BBB7" w:rsidR="00AA2265" w:rsidRPr="00AA2265" w:rsidRDefault="00AA2265" w:rsidP="00AA2265">
      <w:pPr>
        <w:pStyle w:val="NormalWeb"/>
        <w:rPr>
          <w:rFonts w:ascii="Calibri" w:hAnsi="Calibri" w:cs="Calibri"/>
          <w:color w:val="000000"/>
        </w:rPr>
      </w:pPr>
      <w:r w:rsidRPr="00AA2265">
        <w:rPr>
          <w:rFonts w:ascii="Calibri" w:hAnsi="Calibri" w:cs="Calibri"/>
          <w:color w:val="000000"/>
        </w:rPr>
        <w:t>Let me finish with a simple idea that the booklet expresses again and again, in different ways: inclusion is not an add-on. It’s infrastructure. When we build it in, everyone moves more freely</w:t>
      </w:r>
      <w:r w:rsidR="00BC45F4">
        <w:rPr>
          <w:rFonts w:ascii="Calibri" w:hAnsi="Calibri" w:cs="Calibri"/>
          <w:color w:val="000000"/>
        </w:rPr>
        <w:t xml:space="preserve"> </w:t>
      </w:r>
      <w:r w:rsidRPr="00AA2265">
        <w:rPr>
          <w:rFonts w:ascii="Calibri" w:hAnsi="Calibri" w:cs="Calibri"/>
          <w:color w:val="000000"/>
        </w:rPr>
        <w:t>across the Square, through our systems, and into their futures. The last 25 years proved that. The next five will define it.</w:t>
      </w:r>
    </w:p>
    <w:p w14:paraId="4B22C8D3" w14:textId="77777777" w:rsidR="00AA2265" w:rsidRPr="00AA2265" w:rsidRDefault="00AA2265" w:rsidP="00AA2265">
      <w:pPr>
        <w:pStyle w:val="NormalWeb"/>
        <w:rPr>
          <w:rFonts w:ascii="Calibri" w:hAnsi="Calibri" w:cs="Calibri"/>
          <w:color w:val="000000"/>
        </w:rPr>
      </w:pPr>
      <w:r w:rsidRPr="00AA2265">
        <w:rPr>
          <w:rFonts w:ascii="Calibri" w:hAnsi="Calibri" w:cs="Calibri"/>
          <w:color w:val="000000"/>
        </w:rPr>
        <w:t>This book is our memory. Our action plan is our promise. And our students are our purpose.</w:t>
      </w:r>
    </w:p>
    <w:p w14:paraId="107F278A" w14:textId="18B4A65C" w:rsidR="00AA2265" w:rsidRPr="00AA2265" w:rsidRDefault="00AA2265" w:rsidP="00AA2265">
      <w:pPr>
        <w:pStyle w:val="NormalWeb"/>
        <w:rPr>
          <w:rFonts w:ascii="Calibri" w:hAnsi="Calibri" w:cs="Calibri"/>
          <w:color w:val="000000"/>
        </w:rPr>
      </w:pPr>
      <w:r w:rsidRPr="00AA2265">
        <w:rPr>
          <w:rFonts w:ascii="Calibri" w:hAnsi="Calibri" w:cs="Calibri"/>
          <w:color w:val="000000"/>
        </w:rPr>
        <w:t>Here’s to the next chapter</w:t>
      </w:r>
      <w:r w:rsidR="00BC45F4">
        <w:rPr>
          <w:rFonts w:ascii="Calibri" w:hAnsi="Calibri" w:cs="Calibri"/>
          <w:color w:val="000000"/>
        </w:rPr>
        <w:t xml:space="preserve">, </w:t>
      </w:r>
      <w:r w:rsidRPr="00AA2265">
        <w:rPr>
          <w:rFonts w:ascii="Calibri" w:hAnsi="Calibri" w:cs="Calibri"/>
          <w:color w:val="000000"/>
        </w:rPr>
        <w:t>written together, with ability, inclusion, and belonging at its heart.</w:t>
      </w:r>
    </w:p>
    <w:p w14:paraId="791C8749" w14:textId="77777777" w:rsidR="00AA2265" w:rsidRPr="00AA2265" w:rsidRDefault="00AA2265" w:rsidP="00AA2265">
      <w:pPr>
        <w:pStyle w:val="NormalWeb"/>
        <w:rPr>
          <w:rFonts w:ascii="Calibri" w:hAnsi="Calibri" w:cs="Calibri"/>
          <w:color w:val="000000"/>
        </w:rPr>
      </w:pPr>
      <w:r w:rsidRPr="00AA2265">
        <w:rPr>
          <w:rFonts w:ascii="Calibri" w:hAnsi="Calibri" w:cs="Calibri"/>
          <w:color w:val="000000"/>
        </w:rPr>
        <w:t xml:space="preserve">Go </w:t>
      </w:r>
      <w:proofErr w:type="spellStart"/>
      <w:r w:rsidRPr="00AA2265">
        <w:rPr>
          <w:rFonts w:ascii="Calibri" w:hAnsi="Calibri" w:cs="Calibri"/>
          <w:color w:val="000000"/>
        </w:rPr>
        <w:t>raibh</w:t>
      </w:r>
      <w:proofErr w:type="spellEnd"/>
      <w:r w:rsidRPr="00AA2265">
        <w:rPr>
          <w:rFonts w:ascii="Calibri" w:hAnsi="Calibri" w:cs="Calibri"/>
          <w:color w:val="000000"/>
        </w:rPr>
        <w:t xml:space="preserve"> </w:t>
      </w:r>
      <w:proofErr w:type="spellStart"/>
      <w:r w:rsidRPr="00AA2265">
        <w:rPr>
          <w:rFonts w:ascii="Calibri" w:hAnsi="Calibri" w:cs="Calibri"/>
          <w:color w:val="000000"/>
        </w:rPr>
        <w:t>míle</w:t>
      </w:r>
      <w:proofErr w:type="spellEnd"/>
      <w:r w:rsidRPr="00AA2265">
        <w:rPr>
          <w:rFonts w:ascii="Calibri" w:hAnsi="Calibri" w:cs="Calibri"/>
          <w:color w:val="000000"/>
        </w:rPr>
        <w:t xml:space="preserve"> </w:t>
      </w:r>
      <w:proofErr w:type="spellStart"/>
      <w:r w:rsidRPr="00AA2265">
        <w:rPr>
          <w:rFonts w:ascii="Calibri" w:hAnsi="Calibri" w:cs="Calibri"/>
          <w:color w:val="000000"/>
        </w:rPr>
        <w:t>maith</w:t>
      </w:r>
      <w:proofErr w:type="spellEnd"/>
      <w:r w:rsidRPr="00AA2265">
        <w:rPr>
          <w:rFonts w:ascii="Calibri" w:hAnsi="Calibri" w:cs="Calibri"/>
          <w:color w:val="000000"/>
        </w:rPr>
        <w:t xml:space="preserve"> </w:t>
      </w:r>
      <w:proofErr w:type="spellStart"/>
      <w:r w:rsidRPr="00AA2265">
        <w:rPr>
          <w:rFonts w:ascii="Calibri" w:hAnsi="Calibri" w:cs="Calibri"/>
          <w:color w:val="000000"/>
        </w:rPr>
        <w:t>agaibh</w:t>
      </w:r>
      <w:proofErr w:type="spellEnd"/>
      <w:r w:rsidRPr="00AA2265">
        <w:rPr>
          <w:rFonts w:ascii="Calibri" w:hAnsi="Calibri" w:cs="Calibri"/>
          <w:color w:val="000000"/>
        </w:rPr>
        <w:t>.</w:t>
      </w:r>
    </w:p>
    <w:p w14:paraId="07AEF13E" w14:textId="77777777" w:rsidR="008B1A6B" w:rsidRDefault="008B1A6B"/>
    <w:sectPr w:rsidR="008B1A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C62CAA"/>
    <w:multiLevelType w:val="multilevel"/>
    <w:tmpl w:val="76284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8366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265"/>
    <w:rsid w:val="00001EF1"/>
    <w:rsid w:val="000334A7"/>
    <w:rsid w:val="001B22C2"/>
    <w:rsid w:val="002D4EA2"/>
    <w:rsid w:val="002F3824"/>
    <w:rsid w:val="003A7194"/>
    <w:rsid w:val="005B620E"/>
    <w:rsid w:val="008B1A6B"/>
    <w:rsid w:val="00954909"/>
    <w:rsid w:val="00AA2265"/>
    <w:rsid w:val="00BC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7F89C"/>
  <w15:chartTrackingRefBased/>
  <w15:docId w15:val="{45F5E2BA-2261-1C44-97E9-6FE29C7B5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34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34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34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34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34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34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34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34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34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34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34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34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34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34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34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34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34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34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34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34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34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34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34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34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34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34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4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4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34A7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0334A7"/>
    <w:rPr>
      <w:b/>
      <w:bCs/>
    </w:rPr>
  </w:style>
  <w:style w:type="character" w:customStyle="1" w:styleId="apple-converted-space">
    <w:name w:val="apple-converted-space"/>
    <w:basedOn w:val="DefaultParagraphFont"/>
    <w:rsid w:val="00AA2265"/>
  </w:style>
  <w:style w:type="character" w:styleId="Emphasis">
    <w:name w:val="Emphasis"/>
    <w:basedOn w:val="DefaultParagraphFont"/>
    <w:uiPriority w:val="20"/>
    <w:qFormat/>
    <w:rsid w:val="00AA2265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A2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24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eclantreanor/Library/Group%20Containers/UBF8T346G9.Office/User%20Content.localized/Templates.localized/Doc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Doc18.dotx</Template>
  <TotalTime>21</TotalTime>
  <Pages>3</Pages>
  <Words>1028</Words>
  <Characters>5863</Characters>
  <Application>Microsoft Office Word</Application>
  <DocSecurity>0</DocSecurity>
  <Lines>48</Lines>
  <Paragraphs>13</Paragraphs>
  <ScaleCrop>false</ScaleCrop>
  <Company/>
  <LinksUpToDate>false</LinksUpToDate>
  <CharactersWithSpaces>6878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Declan Treanor</dc:creator>
  <cp:keywords/>
  <dc:description/>
  <cp:lastModifiedBy>Declan Treanor</cp:lastModifiedBy>
  <cp:revision>6</cp:revision>
  <dcterms:created xsi:type="dcterms:W3CDTF">2025-10-07T07:01:00Z</dcterms:created>
  <dcterms:modified xsi:type="dcterms:W3CDTF">2025-10-14T06:28:00Z</dcterms:modified>
</cp:coreProperties>
</file>